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DC1" w:rsidRDefault="005E6DC1" w:rsidP="008F4055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 xml:space="preserve">قائمة المراجع: </w:t>
      </w:r>
    </w:p>
    <w:p w:rsidR="001D73F4" w:rsidRDefault="001D73F4" w:rsidP="008F4055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 xml:space="preserve">أولا: القرآن الكريم </w:t>
      </w:r>
    </w:p>
    <w:p w:rsidR="005E6DC1" w:rsidRDefault="001D73F4" w:rsidP="008F4055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>ثانيا</w:t>
      </w:r>
      <w:r w:rsidR="005E6DC1"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>: الكتب</w:t>
      </w:r>
    </w:p>
    <w:p w:rsidR="005E6DC1" w:rsidRDefault="005E6DC1" w:rsidP="008F405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إدريس عبد الجواد عبد الله بريك، ضمانات المشتبه فيه أثناء مرحلة الاستدلال، دار الجامعة الجديدة للنشر، الإسكندرية، 2005.</w:t>
      </w:r>
    </w:p>
    <w:p w:rsidR="005E6DC1" w:rsidRDefault="005E6DC1" w:rsidP="008F405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أحمد الشافعي، البطلان في قانون الإجراءات الجزائية، دراسة مقارنة، الطبعة الأولى، الديوان الوطني للأشغال التربوية، 2004.</w:t>
      </w:r>
    </w:p>
    <w:p w:rsidR="005E6DC1" w:rsidRDefault="005E6DC1" w:rsidP="008F405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أوهابية عبد الله، شرح قانون العقوبات الجزائري، القسم العام، موفم للنشر، الجزائر، 2011.</w:t>
      </w:r>
    </w:p>
    <w:p w:rsidR="005E6DC1" w:rsidRDefault="005E6DC1" w:rsidP="008F405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 w:rsidRPr="0029332A">
        <w:rPr>
          <w:rFonts w:asciiTheme="majorBidi" w:hAnsiTheme="majorBidi" w:cs="Simplified Arabic" w:hint="cs"/>
          <w:sz w:val="32"/>
          <w:szCs w:val="32"/>
          <w:rtl/>
          <w:lang w:bidi="ar-DZ"/>
        </w:rPr>
        <w:t>أوها</w:t>
      </w:r>
      <w:r w:rsidR="00BB7C89">
        <w:rPr>
          <w:rFonts w:asciiTheme="majorBidi" w:hAnsiTheme="majorBidi" w:cs="Simplified Arabic" w:hint="cs"/>
          <w:sz w:val="32"/>
          <w:szCs w:val="32"/>
          <w:rtl/>
          <w:lang w:bidi="ar-DZ"/>
        </w:rPr>
        <w:t>ي</w:t>
      </w:r>
      <w:r w:rsidRPr="0029332A">
        <w:rPr>
          <w:rFonts w:asciiTheme="majorBidi" w:hAnsiTheme="majorBidi" w:cs="Simplified Arabic" w:hint="cs"/>
          <w:sz w:val="32"/>
          <w:szCs w:val="32"/>
          <w:rtl/>
          <w:lang w:bidi="ar-DZ"/>
        </w:rPr>
        <w:t>بية عبد الله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، شرح قانون الإجراءات الجزائية،(التحري والتحقيق)، دار هومه للنشر والتوزيع، الجزائر، 2012.</w:t>
      </w:r>
    </w:p>
    <w:p w:rsidR="005E6DC1" w:rsidRDefault="005E6DC1" w:rsidP="008F405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بارش سليمان، شرح قانون الإجراءات الجزائية، الطبعة الأولى، دار الشهاب للطباعة والنشر والتوزيع، باتنة، الجزائر، 1985.</w:t>
      </w:r>
    </w:p>
    <w:p w:rsidR="005E6DC1" w:rsidRDefault="005E6DC1" w:rsidP="008F405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بعلي محمد الصغير، القانون الإداري، (التنظيم الإداري والنشاط الإداري)، دار العلوم للنشر والتوزيع، الحجار، عنابة، الجزائر، 2011.</w:t>
      </w:r>
    </w:p>
    <w:p w:rsidR="005E6DC1" w:rsidRDefault="005E6DC1" w:rsidP="00BB7C8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بعلي محمد الصغير، المدخل للعلوم القانونية،و (نظرية القانون ونظرية الحق)، دار العلوم للنشر والتوزيع، الحجار، عنابة، 2006.</w:t>
      </w:r>
    </w:p>
    <w:p w:rsidR="005E6DC1" w:rsidRDefault="005E6DC1" w:rsidP="008F405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lastRenderedPageBreak/>
        <w:t>بوسقيعة أحسن، التحقيق القضائي، الطبعة العاشرة، دار هومه للطباعة والنشر والتوزيع، الجزائر، 2012-2013.</w:t>
      </w:r>
    </w:p>
    <w:p w:rsidR="005E6DC1" w:rsidRDefault="005E6DC1" w:rsidP="008F405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بوسقيعة أحسن، الوجيز في القانون الجزائي الخاص، الجزء الثاني، الطبعة الثانية عشر، دار هومه للطباعة والنشر والتوزيع، الجزائر، 2012.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بوسقيعة أحسن، الوجيز في القانون الجزائي الخاص، الجزء الأول، الطبعة الرابعة، دار هومه للطباعة والنشر والتوزيع، الجزائر، 2012.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991"/>
        </w:tabs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جبار ملاح الدين، القضاء العسكري في التشريع الجزائري والقانون المقارن، الطبعة الأولى، دار الخلدونية للنشر والتوزيع، القبة القديمة، الجزائر، 2010.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جبار عبد المجيد، دراسات قانونية في المادة الجزائية على ضوء أهم التعديلات الجديدة، دار هومه للطباعة والنشر والتوزيع، الجزائر، 2012.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991"/>
        </w:tabs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جيلالي بغدادي، التحقيق دراسة مقارنة نظرية وتطبيقية، الطبعة الأولى، الديوان الوطني للأشغال التربوية، 1999.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حزيط محمد، مذكرات في قانون الإجراءات الجزائية الجزائري، الطبعة الثامنة، دار هومه للطباعة والنشر والتوزيع، الجزائر، 2013.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حمزة عبد الوهاب، النظام القانوني للحبس المؤقت في قانون الإجراءات الجزائية الجزائري، الطبعة الثانية، دار هومه للطباعة والنشر والتوزيع، الجزائر، 2006.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lastRenderedPageBreak/>
        <w:t>خراشي عادل عب</w:t>
      </w:r>
      <w:r w:rsidR="00BB7C89">
        <w:rPr>
          <w:rFonts w:asciiTheme="majorBidi" w:hAnsiTheme="majorBidi" w:cs="Simplified Arabic" w:hint="cs"/>
          <w:sz w:val="32"/>
          <w:szCs w:val="32"/>
          <w:rtl/>
          <w:lang w:bidi="ar-DZ"/>
        </w:rPr>
        <w:t>د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 العال، ضوابط التحري والاستدلال عن الجرائم في الفقه الإسلامي والقانون الوضعي، دار الجامعة الجديدة للنشر، الإسكندرية، 2006.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خوري عمر، شرح قانون الإجراءات الجزائية، دار المهندس، سطيف، 2007-2008.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فوزي عمر، شرح قانون العقوبات، القسم العام، دار المهندس، سطيف، 2007-2008.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دريا</w:t>
      </w:r>
      <w:r w:rsidR="00BB7C89">
        <w:rPr>
          <w:rFonts w:asciiTheme="majorBidi" w:hAnsiTheme="majorBidi" w:cs="Simplified Arabic" w:hint="cs"/>
          <w:sz w:val="32"/>
          <w:szCs w:val="32"/>
          <w:rtl/>
          <w:lang w:bidi="ar-DZ"/>
        </w:rPr>
        <w:t>د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 مليكة، ضمانات المتهم أثناء التحقي الابتدائي في ظل قانون الإجراءات الجزائية الجزائري، الطبعة الأولى، منشورات عشاش، الجزائر، 2003.</w:t>
      </w:r>
    </w:p>
    <w:p w:rsidR="005E6DC1" w:rsidRDefault="00BB7C89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د</w:t>
      </w:r>
      <w:r w:rsidR="005E6DC1">
        <w:rPr>
          <w:rFonts w:asciiTheme="majorBidi" w:hAnsiTheme="majorBidi" w:cs="Simplified Arabic" w:hint="cs"/>
          <w:sz w:val="32"/>
          <w:szCs w:val="32"/>
          <w:rtl/>
          <w:lang w:bidi="ar-DZ"/>
        </w:rPr>
        <w:t>لا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ن</w:t>
      </w:r>
      <w:r w:rsidR="005E6DC1">
        <w:rPr>
          <w:rFonts w:asciiTheme="majorBidi" w:hAnsiTheme="majorBidi" w:cs="Simplified Arabic" w:hint="cs"/>
          <w:sz w:val="32"/>
          <w:szCs w:val="32"/>
          <w:rtl/>
          <w:lang w:bidi="ar-DZ"/>
        </w:rPr>
        <w:t>دة يوسف، نظام التعويض عن الأضرار الجسمانية والمادية الناتجة عن حوادث المرور، دار هومه للطباعة والنشر والتوزيع، الجزائر، 2012.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 w:rsidRPr="005C5021">
        <w:rPr>
          <w:rFonts w:asciiTheme="majorBidi" w:hAnsiTheme="majorBidi" w:cs="Simplified Arabic" w:hint="cs"/>
          <w:sz w:val="32"/>
          <w:szCs w:val="32"/>
          <w:rtl/>
          <w:lang w:bidi="ar-DZ"/>
        </w:rPr>
        <w:t>سيف النصر سليمان، مشروعية التفتيش والإيقاف للأشخاص والسيارات وراكبي السيارات وأمتعتهم في الكمائن والطرق العامة، دار محمود للنشر والتوزيع، باب الخلق، القاهرة، 2008.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طاهري حسين، الوجيز في شرح قانون الإجراءات الجزائية الجزائري، الطبعة الثانية، دار المحمدية العامة، الجزائر، 2011.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عبيد رؤوف، مبادئ الإجراءات الجنائية في القانون المصري، الطبعة الثانية عشر، المطبعة الجامعية، عين شمس، 1985.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lastRenderedPageBreak/>
        <w:t>غاي أحمد، ضمانات المشتبه فيه أثناء التحريات الأولية، دراسة مقارنة للضمانات النظرية والتطبيقية المقررة للمشتبه فيه في التشريع الجزائري والتشريعات الأجنبية والشريعة الإسلامية، دار هومه للطباعة والنشر والتوزيع، الجزائر، 2006.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غاي أحمد، الوجيز في مهام الشرطة القضائية، الطبعة الخامسة، دار هومه للطباعة والنشر والتوزيع، الجزائر، 2011.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غاي أحمد، مبادئ الطب الشرعي، دار هومه للطباعة والنشر والتوزيع، الجزائر، 2012.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غاي أحمد، التوقيف للنظر، سلسلة الشرطة القضائية، الطبعة الأولى، دار هومه للطباعة والنشر والتوزيع، الجزائر، 2005.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غاي أحمد، الحماية القانونية لحرمة المسكن، سلسلة الشرطة القضائية، الطبعة الأولى، دار هومه للطباعة والنشر والتوزيع، الجزائر، 2008.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غمسون رمضان، الحق في محاكمة عادلة من خلال التشريع الوطني الجزائري والتشريع الدولي، الطبعة الأولى، دار الألمعية للنشر والتوزيع، 2010.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فتحي سرور محمد، الوجيز في قانون الإجراءات الجزائية، الطبعة السابعة، دار النهضة العربية، القاهرة، 1993.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lastRenderedPageBreak/>
        <w:t>قدري عبد الفتاح الشهاوي، ضوابط الاستدلال والإيضاحات والتحريات والاستخبارات في التشريع المصري والمقارن، منشأة المعارف للتوزيع، الإسكندرية، 2002.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قري غنية، شرح القانون الجنائية، الطبعة الأولى، دار قرطبة للنشر والتوزيع، الجزائر، 2009.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محدة محمد، ضمانات المشتبه فيه أثناء التحريات الأولية، الطبعة الأولى، دار الهدى، عين مليلة، الجزائر، 1991-1992.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نجيمي جمال، إثبات الجريمة على ضوء الاجتهاد القضائي، دراسة مقارنة، دار هومه للطباعة والنشر والتوزيع، الجزائر، 2011.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هنوني نصر الدين ويقدح دارين، الضبطية القضائية في القانون الجزائري، الطبعة الثانية، دار هومه للطباعة والنشر والتوزيع، الجزائر، 2012.</w:t>
      </w:r>
    </w:p>
    <w:p w:rsidR="005E6DC1" w:rsidRDefault="005E6DC1" w:rsidP="00CA41FC">
      <w:pPr>
        <w:pStyle w:val="a3"/>
        <w:numPr>
          <w:ilvl w:val="0"/>
          <w:numId w:val="1"/>
        </w:numPr>
        <w:tabs>
          <w:tab w:val="right" w:pos="849"/>
        </w:tabs>
        <w:spacing w:after="0" w:line="360" w:lineRule="auto"/>
        <w:ind w:left="357" w:hanging="75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وهاب حمزة، الحماية الدستورية للحرية الشخصية من خلال مرحلة الاستدلال والتحقيق في التشريع الجزائري، دار الخلدونية للنشر والتوزيع، القبة، الجزائر، 2011.</w:t>
      </w:r>
    </w:p>
    <w:p w:rsidR="001D73F4" w:rsidRDefault="001D73F4" w:rsidP="001D73F4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32"/>
          <w:szCs w:val="32"/>
          <w:rtl/>
          <w:lang w:bidi="ar-DZ"/>
        </w:rPr>
      </w:pPr>
      <w:r w:rsidRPr="001D73F4"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>ثالثا: القواميس</w:t>
      </w:r>
    </w:p>
    <w:p w:rsidR="00CF29DC" w:rsidRDefault="00CF29DC" w:rsidP="0087660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 w:rsidRPr="00876604">
        <w:rPr>
          <w:rFonts w:asciiTheme="majorBidi" w:hAnsiTheme="majorBidi" w:cs="Simplified Arabic"/>
          <w:sz w:val="32"/>
          <w:szCs w:val="32"/>
          <w:rtl/>
          <w:lang w:bidi="ar-DZ"/>
        </w:rPr>
        <w:t>بطرس البستاني، محيط المحيط، مكتبة لبنان، ساحة رياض الصالح، بيروت، الجزء1، بدون تاريخ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.</w:t>
      </w:r>
    </w:p>
    <w:p w:rsidR="00CF29DC" w:rsidRDefault="00CF29DC" w:rsidP="001D73F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 w:rsidRPr="001D73F4">
        <w:rPr>
          <w:rFonts w:asciiTheme="majorBidi" w:hAnsiTheme="majorBidi" w:cs="Simplified Arabic"/>
          <w:sz w:val="32"/>
          <w:szCs w:val="32"/>
          <w:rtl/>
          <w:lang w:bidi="ar-DZ"/>
        </w:rPr>
        <w:lastRenderedPageBreak/>
        <w:t>جمال الدين أبي الفضل محمد بن مكرم ابن منظور الأنصاري الإفريقي المصري: لسان العرب، طبعة بيروت، 1955، مختار الصحاح للرازي، ترتيب محمود خاطر، باب حرا، دار الحديث، القاهرة، دار مصر للطباعة، بدون تاريخ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.</w:t>
      </w:r>
    </w:p>
    <w:p w:rsidR="00CF29DC" w:rsidRPr="00CF29DC" w:rsidRDefault="00CF29DC" w:rsidP="00CF29D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 w:rsidRPr="00CF29DC">
        <w:rPr>
          <w:rFonts w:asciiTheme="majorBidi" w:hAnsiTheme="majorBidi" w:cs="Simplified Arabic"/>
          <w:sz w:val="32"/>
          <w:szCs w:val="32"/>
          <w:rtl/>
          <w:lang w:bidi="ar-DZ"/>
        </w:rPr>
        <w:t>المعجم الو</w:t>
      </w:r>
      <w:r w:rsidRPr="00CF29DC">
        <w:rPr>
          <w:rFonts w:asciiTheme="majorBidi" w:hAnsiTheme="majorBidi" w:cs="Simplified Arabic" w:hint="cs"/>
          <w:sz w:val="32"/>
          <w:szCs w:val="32"/>
          <w:rtl/>
          <w:lang w:bidi="ar-DZ"/>
        </w:rPr>
        <w:t>سيط</w:t>
      </w:r>
      <w:r w:rsidRPr="00CF29DC">
        <w:rPr>
          <w:rFonts w:asciiTheme="majorBidi" w:hAnsiTheme="majorBidi" w:cs="Simplified Arabic"/>
          <w:sz w:val="32"/>
          <w:szCs w:val="32"/>
          <w:rtl/>
          <w:lang w:bidi="ar-DZ"/>
        </w:rPr>
        <w:t xml:space="preserve">، </w:t>
      </w:r>
      <w:r w:rsidRPr="00CF29DC">
        <w:rPr>
          <w:rFonts w:asciiTheme="majorBidi" w:hAnsiTheme="majorBidi" w:cs="Simplified Arabic" w:hint="cs"/>
          <w:sz w:val="32"/>
          <w:szCs w:val="32"/>
          <w:rtl/>
          <w:lang w:bidi="ar-DZ"/>
        </w:rPr>
        <w:t>صادر عن مجمع اللغة العربية، مكتبة الشروق الدولية،القاهرة،  ط4، 2004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.</w:t>
      </w:r>
    </w:p>
    <w:p w:rsidR="005E6DC1" w:rsidRDefault="0067296A" w:rsidP="001D73F4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>رابعا:</w:t>
      </w:r>
      <w:r w:rsidR="005E6DC1"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 xml:space="preserve"> المجلات</w:t>
      </w:r>
      <w:r w:rsidR="00443F14"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 xml:space="preserve"> والدوريات</w:t>
      </w:r>
    </w:p>
    <w:p w:rsidR="005E6DC1" w:rsidRPr="00E44C32" w:rsidRDefault="005E6DC1" w:rsidP="00E44C3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 w:rsidRPr="00E44C32">
        <w:rPr>
          <w:rFonts w:asciiTheme="majorBidi" w:hAnsiTheme="majorBidi" w:cs="Simplified Arabic" w:hint="cs"/>
          <w:sz w:val="32"/>
          <w:szCs w:val="32"/>
          <w:rtl/>
          <w:lang w:bidi="ar-DZ"/>
        </w:rPr>
        <w:t>بلفراد لطفي لمين (السر المهني على ضوء أحكام المادة 11 من  قانون الإجراءات الجزائية الجزائري، مجلة شرطة دورية، تصدر عن المديرية العامة للأمن الوطني، الجزائر، عدد خاص.</w:t>
      </w:r>
    </w:p>
    <w:p w:rsidR="005E6DC1" w:rsidRDefault="005E6DC1" w:rsidP="00E44C3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رشيد بوعلام الله (الدراسة القانونية للقانون المتعلق بالوقاية من الفساد ومكافحته)، مجلة الشرطة، تصدر عن المديرية العامة للأمن الوطني، الجزائر، العدد85.</w:t>
      </w:r>
    </w:p>
    <w:p w:rsidR="005E6DC1" w:rsidRDefault="005E6DC1" w:rsidP="00E44C3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قادري </w:t>
      </w:r>
      <w:r w:rsidR="00CF29DC">
        <w:rPr>
          <w:rFonts w:asciiTheme="majorBidi" w:hAnsiTheme="majorBidi" w:cs="Simplified Arabic" w:hint="cs"/>
          <w:sz w:val="32"/>
          <w:szCs w:val="32"/>
          <w:rtl/>
          <w:lang w:bidi="ar-DZ"/>
        </w:rPr>
        <w:t>أ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عمر (طرق فتح التحقيق على يد ضابط الشرطة القضائية)، مجلة الشرطة، تصدر عن المديرية العامة للأمن الوطني، الجزائر، عدد53.</w:t>
      </w:r>
    </w:p>
    <w:p w:rsidR="005E6DC1" w:rsidRDefault="005E6DC1" w:rsidP="00E44C3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قادري </w:t>
      </w:r>
      <w:r w:rsidR="00CF29DC">
        <w:rPr>
          <w:rFonts w:asciiTheme="majorBidi" w:hAnsiTheme="majorBidi" w:cs="Simplified Arabic" w:hint="cs"/>
          <w:sz w:val="32"/>
          <w:szCs w:val="32"/>
          <w:rtl/>
          <w:lang w:bidi="ar-DZ"/>
        </w:rPr>
        <w:t>أ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عمر(حرمة الحياة الخاصة)، مجلة الشرطة، تصدر عن المديرية العامة للأمن الوطني، الجزائر، عدد خاص.</w:t>
      </w:r>
    </w:p>
    <w:p w:rsidR="005E6DC1" w:rsidRDefault="005E6DC1" w:rsidP="00E44C3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المجلة القضائية، العدد الثاني، 1997. </w:t>
      </w:r>
    </w:p>
    <w:p w:rsidR="006134BC" w:rsidRPr="006134BC" w:rsidRDefault="006134BC" w:rsidP="006134BC">
      <w:pPr>
        <w:spacing w:after="0" w:line="360" w:lineRule="auto"/>
        <w:jc w:val="both"/>
        <w:rPr>
          <w:rFonts w:asciiTheme="majorBidi" w:hAnsiTheme="majorBidi" w:cs="Simplified Arabic"/>
          <w:color w:val="FFFFFF" w:themeColor="background1"/>
          <w:sz w:val="32"/>
          <w:szCs w:val="32"/>
          <w:lang w:bidi="ar-DZ"/>
        </w:rPr>
      </w:pPr>
      <w:r w:rsidRPr="006134BC">
        <w:rPr>
          <w:rFonts w:asciiTheme="majorBidi" w:hAnsiTheme="majorBidi" w:cs="Simplified Arabic" w:hint="cs"/>
          <w:color w:val="FFFFFF" w:themeColor="background1"/>
          <w:sz w:val="32"/>
          <w:szCs w:val="32"/>
          <w:rtl/>
          <w:lang w:bidi="ar-DZ"/>
        </w:rPr>
        <w:t>لللل</w:t>
      </w:r>
    </w:p>
    <w:p w:rsidR="005E6DC1" w:rsidRDefault="001D73F4" w:rsidP="008F4055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lastRenderedPageBreak/>
        <w:t>خامسا</w:t>
      </w:r>
      <w:r w:rsidR="005E6DC1"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>: المذكرات</w:t>
      </w:r>
    </w:p>
    <w:p w:rsidR="005E6DC1" w:rsidRDefault="005E6DC1" w:rsidP="0092440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ارناتن </w:t>
      </w:r>
      <w:r w:rsidR="00924402">
        <w:rPr>
          <w:rFonts w:asciiTheme="majorBidi" w:hAnsiTheme="majorBidi" w:cs="Simplified Arabic" w:hint="cs"/>
          <w:sz w:val="32"/>
          <w:szCs w:val="32"/>
          <w:rtl/>
          <w:lang w:bidi="ar-DZ"/>
        </w:rPr>
        <w:t>داهبية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، أسباب بطلان إجراءات الضبطية القضائية (مذكرة التخرج لنيل إجازة المدرسة العليا للقضاء)، 2011.</w:t>
      </w:r>
    </w:p>
    <w:p w:rsidR="005E6DC1" w:rsidRDefault="005E6DC1" w:rsidP="008F405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أوهايبية عبد الله، ضمانات الحرية الشخصية أثناء مرحلة البحث التمهيدي ''الاستدلال''، أطروحة لنيل دكتوراه دولة في القانون، جامعة الجزائر، 1992.</w:t>
      </w:r>
    </w:p>
    <w:p w:rsidR="005E6DC1" w:rsidRDefault="005E6DC1" w:rsidP="008F405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بوليعون فراح، المسؤولية الإدارية عن أعمال الشرطة، (مذكرة تخرج لنيل إجازة المدرسة العليا للقضاء)، 2006.</w:t>
      </w:r>
    </w:p>
    <w:p w:rsidR="005E6DC1" w:rsidRDefault="005E6DC1" w:rsidP="00BB7C8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حيدر كنزة، ال</w:t>
      </w:r>
      <w:r w:rsidR="00BB7C89">
        <w:rPr>
          <w:rFonts w:asciiTheme="majorBidi" w:hAnsiTheme="majorBidi" w:cs="Simplified Arabic" w:hint="cs"/>
          <w:sz w:val="32"/>
          <w:szCs w:val="32"/>
          <w:rtl/>
          <w:lang w:bidi="ar-DZ"/>
        </w:rPr>
        <w:t>تس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رب ودوره في مكافحة الجريمة، (مذكرة تخرج لنيل إجازة المدرسة العليا للقضاء)، 2010.</w:t>
      </w:r>
    </w:p>
    <w:p w:rsidR="005E6DC1" w:rsidRDefault="005E6DC1" w:rsidP="008F405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جبار حكيم، سلطات الضبط القضائي وحدوده في قانون الإجراءات الجزائية، (مذكرة تخرج لنيل إجازة المدرسة العليا للقضاء)، 2010.</w:t>
      </w:r>
    </w:p>
    <w:p w:rsidR="005E6DC1" w:rsidRDefault="005E6DC1" w:rsidP="008F405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خمخوم عبد العزيز، التوقيف للنظر بين النظرية والتطبيق، (مذكرة تخرج لنيل إجازة المدرسة العليا للقضاء)، 2007.</w:t>
      </w:r>
    </w:p>
    <w:p w:rsidR="005E6DC1" w:rsidRDefault="005E6DC1" w:rsidP="008F405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سماعون سيد أحمد، قواعد الإثبات الجنائي ومدى تطبيقها على جريمتي الزنا والسياقة في حالة سكر، (مذكرة تخرج لنيل إجازة المدرسة العليا للقضاء)، 2004.</w:t>
      </w:r>
    </w:p>
    <w:p w:rsidR="005E6DC1" w:rsidRDefault="005E6DC1" w:rsidP="00BB7C8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عبد أ</w:t>
      </w:r>
      <w:r w:rsidR="00BB7C89">
        <w:rPr>
          <w:rFonts w:asciiTheme="majorBidi" w:hAnsiTheme="majorBidi" w:cs="Simplified Arabic" w:hint="cs"/>
          <w:sz w:val="32"/>
          <w:szCs w:val="32"/>
          <w:rtl/>
          <w:lang w:bidi="ar-DZ"/>
        </w:rPr>
        <w:t>ب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اد القائد، اختصاصات غرفة الاتهام وإجراءات انعقاد جلساتها، (مذكرة تخرج لنيل إجازة المدرسة العليا للقضاء)، 2006.</w:t>
      </w:r>
    </w:p>
    <w:p w:rsidR="005E6DC1" w:rsidRDefault="005E6DC1" w:rsidP="00BB7C8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lastRenderedPageBreak/>
        <w:t>م</w:t>
      </w:r>
      <w:r w:rsidR="00BB7C89">
        <w:rPr>
          <w:rFonts w:asciiTheme="majorBidi" w:hAnsiTheme="majorBidi" w:cs="Simplified Arabic" w:hint="cs"/>
          <w:sz w:val="32"/>
          <w:szCs w:val="32"/>
          <w:rtl/>
          <w:lang w:bidi="ar-DZ"/>
        </w:rPr>
        <w:t>ب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خوتي فاطمة، التوقيف </w:t>
      </w:r>
      <w:r w:rsidR="00BB7C89">
        <w:rPr>
          <w:rFonts w:asciiTheme="majorBidi" w:hAnsiTheme="majorBidi" w:cs="Simplified Arabic" w:hint="cs"/>
          <w:sz w:val="32"/>
          <w:szCs w:val="32"/>
          <w:rtl/>
          <w:lang w:bidi="ar-DZ"/>
        </w:rPr>
        <w:t>لل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نظر، (مذكرة تخرج لنيل إجازة المدرسة العليا للقضاء)، 2010.</w:t>
      </w:r>
    </w:p>
    <w:p w:rsidR="005E6DC1" w:rsidRDefault="001D73F4" w:rsidP="008F4055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>سادسا</w:t>
      </w:r>
      <w:r w:rsidR="005E6DC1"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>: القوانين</w:t>
      </w:r>
      <w:r w:rsidR="006D2CD6"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 xml:space="preserve"> والتشريعات</w:t>
      </w:r>
    </w:p>
    <w:p w:rsidR="005E6DC1" w:rsidRDefault="005E6DC1" w:rsidP="00AE63FE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الدستور الجزائري في ا</w:t>
      </w:r>
      <w:r w:rsidR="00AE63FE">
        <w:rPr>
          <w:rFonts w:asciiTheme="majorBidi" w:hAnsiTheme="majorBidi" w:cs="Simplified Arabic" w:hint="cs"/>
          <w:sz w:val="32"/>
          <w:szCs w:val="32"/>
          <w:rtl/>
          <w:lang w:bidi="ar-DZ"/>
        </w:rPr>
        <w:t>ست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فتاء 28-114-1996، الجريدة الرسمية المؤرخة في 08 ديسمبر 1996، العدد76.</w:t>
      </w:r>
    </w:p>
    <w:p w:rsidR="00CF29DC" w:rsidRPr="00CF29DC" w:rsidRDefault="00CF29DC" w:rsidP="00CF29D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القانون رقم 98/</w:t>
      </w:r>
      <w:r w:rsidR="00C51C36"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 المتعلق بقانون الجمارك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10 المؤرخ في 22 أوت 1998، الجريدة الرسمية، العدد61.</w:t>
      </w:r>
    </w:p>
    <w:p w:rsidR="005E6DC1" w:rsidRDefault="005E6DC1" w:rsidP="00BB7C89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الأمر 66/158 المؤرخ في 8 يونيو 1996، المعدل بالقانون رقم 06/23 المؤرخ في 20 ديسمبر 2006، المتضمن قانون العقوبات المعدل والمتمم، جري</w:t>
      </w:r>
      <w:r w:rsidR="00BB7C89"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دة </w:t>
      </w: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رسمية رقم 84.</w:t>
      </w:r>
    </w:p>
    <w:p w:rsidR="005E6DC1" w:rsidRDefault="005E6DC1" w:rsidP="008F405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الأمر 66/156 المؤرخ في 08 يونيو 1996، المعدل بالقانون رقم 06/22 المؤرخ في 20 ديسمبر 2006 المتضمن قانون الإجراءات الجزائية المعدل والمتمم، جريدة رسمية رقم 84.</w:t>
      </w:r>
    </w:p>
    <w:p w:rsidR="005E6DC1" w:rsidRPr="00CF29DC" w:rsidRDefault="00CF29DC" w:rsidP="00CF29D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الأمر 71-28 المؤرخ في 22 أبريل 1971 المعدل والمتمم بالأمر 73-04 المؤرخ في 05 يناير 1973، المتضمن قانون القضاء العسكري، الجريدة الرسمية، عدد 05 سنة 1973</w:t>
      </w:r>
    </w:p>
    <w:p w:rsidR="005E6DC1" w:rsidRPr="00CF29DC" w:rsidRDefault="00CF29DC" w:rsidP="00CF29DC">
      <w:pPr>
        <w:spacing w:after="0" w:line="360" w:lineRule="auto"/>
        <w:ind w:left="360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lastRenderedPageBreak/>
        <w:t>6-</w:t>
      </w:r>
      <w:r w:rsidR="005E6DC1" w:rsidRPr="00CF29DC">
        <w:rPr>
          <w:rFonts w:asciiTheme="majorBidi" w:hAnsiTheme="majorBidi" w:cs="Simplified Arabic" w:hint="cs"/>
          <w:sz w:val="32"/>
          <w:szCs w:val="32"/>
          <w:rtl/>
          <w:lang w:bidi="ar-DZ"/>
        </w:rPr>
        <w:t>المرسوم رقم 108-80 المتضمن خدمة الدرك الوطني المؤرخ في 06-06-1980، الجريدة الرسمية رقم 34 المؤرخة في 106-08-1983.</w:t>
      </w:r>
    </w:p>
    <w:p w:rsidR="005E6DC1" w:rsidRDefault="001D73F4" w:rsidP="001D73F4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>ثامنا</w:t>
      </w:r>
      <w:r w:rsidR="005E6DC1"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>: الإعلانات</w:t>
      </w:r>
    </w:p>
    <w:p w:rsidR="005E6DC1" w:rsidRDefault="005E6DC1" w:rsidP="008F4055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>الإعلان العالمي لحقوق الإنسان المعتمد بقرار الجمعية العامة للأمم المتحدة رقم 217 المؤرخ في 10-12-1948.</w:t>
      </w:r>
    </w:p>
    <w:p w:rsidR="005E6DC1" w:rsidRDefault="001D73F4" w:rsidP="001D73F4">
      <w:pPr>
        <w:spacing w:after="0" w:line="360" w:lineRule="auto"/>
        <w:jc w:val="both"/>
        <w:rPr>
          <w:rFonts w:asciiTheme="majorBidi" w:hAnsiTheme="maj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>تاسعا</w:t>
      </w:r>
      <w:r w:rsidR="005E6DC1">
        <w:rPr>
          <w:rFonts w:asciiTheme="majorBidi" w:hAnsiTheme="majorBidi" w:cs="Simplified Arabic" w:hint="cs"/>
          <w:b/>
          <w:bCs/>
          <w:sz w:val="32"/>
          <w:szCs w:val="32"/>
          <w:rtl/>
          <w:lang w:bidi="ar-DZ"/>
        </w:rPr>
        <w:t>: المحاضرات</w:t>
      </w:r>
    </w:p>
    <w:p w:rsidR="005E6DC1" w:rsidRPr="009839FE" w:rsidRDefault="005E6DC1" w:rsidP="00AE63FE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Theme="majorBidi" w:hAnsiTheme="majorBidi" w:cs="Simplified Arabic"/>
          <w:sz w:val="32"/>
          <w:szCs w:val="32"/>
          <w:lang w:bidi="ar-DZ"/>
        </w:rPr>
      </w:pPr>
      <w:r>
        <w:rPr>
          <w:rFonts w:asciiTheme="majorBidi" w:hAnsiTheme="majorBidi" w:cs="Simplified Arabic" w:hint="cs"/>
          <w:sz w:val="32"/>
          <w:szCs w:val="32"/>
          <w:rtl/>
          <w:lang w:bidi="ar-DZ"/>
        </w:rPr>
        <w:t xml:space="preserve">الحسين عيساوي، محاضرات في الضبطية القضائية، محاضرة ألقيت على طلبة السنة الثالثة </w:t>
      </w:r>
      <w:r>
        <w:rPr>
          <w:rFonts w:asciiTheme="majorBidi" w:hAnsiTheme="majorBidi" w:cs="Simplified Arabic"/>
          <w:sz w:val="32"/>
          <w:szCs w:val="32"/>
          <w:lang w:val="fr-FR" w:bidi="ar-DZ"/>
        </w:rPr>
        <w:t>LMD</w:t>
      </w:r>
      <w:r>
        <w:rPr>
          <w:rFonts w:asciiTheme="majorBidi" w:hAnsiTheme="majorBidi" w:cs="Simplified Arabic" w:hint="cs"/>
          <w:sz w:val="32"/>
          <w:szCs w:val="32"/>
          <w:rtl/>
          <w:lang w:val="fr-FR" w:bidi="ar-DZ"/>
        </w:rPr>
        <w:t>، 2011.</w:t>
      </w:r>
    </w:p>
    <w:p w:rsidR="00BD5B04" w:rsidRPr="005E6DC1" w:rsidRDefault="00BD5B04" w:rsidP="008F4055">
      <w:pPr>
        <w:jc w:val="both"/>
      </w:pPr>
    </w:p>
    <w:sectPr w:rsidR="00BD5B04" w:rsidRPr="005E6DC1" w:rsidSect="006134BC">
      <w:headerReference w:type="default" r:id="rId7"/>
      <w:footerReference w:type="default" r:id="rId8"/>
      <w:pgSz w:w="11906" w:h="16838"/>
      <w:pgMar w:top="1418" w:right="1701" w:bottom="1418" w:left="1134" w:header="709" w:footer="709" w:gutter="0"/>
      <w:pgNumType w:fmt="numberInDash" w:start="1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83C" w:rsidRDefault="0069483C" w:rsidP="005E6DC1">
      <w:pPr>
        <w:spacing w:after="0" w:line="240" w:lineRule="auto"/>
      </w:pPr>
      <w:r>
        <w:separator/>
      </w:r>
    </w:p>
  </w:endnote>
  <w:endnote w:type="continuationSeparator" w:id="1">
    <w:p w:rsidR="0069483C" w:rsidRDefault="0069483C" w:rsidP="005E6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Hesham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9160548"/>
      <w:docPartObj>
        <w:docPartGallery w:val="Page Numbers (Bottom of Page)"/>
        <w:docPartUnique/>
      </w:docPartObj>
    </w:sdtPr>
    <w:sdtContent>
      <w:p w:rsidR="006134BC" w:rsidRDefault="000858A5">
        <w:pPr>
          <w:pStyle w:val="a5"/>
          <w:jc w:val="center"/>
        </w:pPr>
        <w:fldSimple w:instr=" PAGE   \* MERGEFORMAT ">
          <w:r w:rsidR="00C51C36">
            <w:rPr>
              <w:noProof/>
              <w:rtl/>
            </w:rPr>
            <w:t>- 153 -</w:t>
          </w:r>
        </w:fldSimple>
      </w:p>
    </w:sdtContent>
  </w:sdt>
  <w:p w:rsidR="006134BC" w:rsidRDefault="006134B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83C" w:rsidRDefault="0069483C" w:rsidP="005E6DC1">
      <w:pPr>
        <w:spacing w:after="0" w:line="240" w:lineRule="auto"/>
      </w:pPr>
      <w:r>
        <w:separator/>
      </w:r>
    </w:p>
  </w:footnote>
  <w:footnote w:type="continuationSeparator" w:id="1">
    <w:p w:rsidR="0069483C" w:rsidRDefault="0069483C" w:rsidP="005E6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DC1" w:rsidRPr="007E40C1" w:rsidRDefault="005E6DC1" w:rsidP="005E6DC1">
    <w:pPr>
      <w:pStyle w:val="a4"/>
      <w:rPr>
        <w:rFonts w:cs="HeshamNormal"/>
        <w:sz w:val="28"/>
        <w:szCs w:val="28"/>
      </w:rPr>
    </w:pPr>
    <w:r>
      <w:rPr>
        <w:rFonts w:cs="HeshamNormal" w:hint="cs"/>
        <w:sz w:val="28"/>
        <w:szCs w:val="28"/>
        <w:rtl/>
        <w:lang w:bidi="ar-DZ"/>
      </w:rPr>
      <w:t xml:space="preserve">قائمة المراجع                                                   </w:t>
    </w:r>
  </w:p>
  <w:p w:rsidR="005E6DC1" w:rsidRDefault="000858A5">
    <w:pPr>
      <w:pStyle w:val="a4"/>
    </w:pPr>
    <w:r>
      <w:rPr>
        <w:noProof/>
        <w:lang w:val="fr-FR" w:eastAsia="fr-FR"/>
      </w:rPr>
      <w:pict>
        <v:line id="_x0000_s2049" style="position:absolute;left:0;text-align:left;flip:x;z-index:251658240;mso-position-horizontal:center" from="0,8pt" to="456.05pt,8pt" strokeweight="6pt">
          <v:stroke linestyle="thickBetweenThin"/>
          <w10:wrap anchorx="pag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C1FC3"/>
    <w:multiLevelType w:val="hybridMultilevel"/>
    <w:tmpl w:val="CE1460E8"/>
    <w:lvl w:ilvl="0" w:tplc="B712A6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B1585"/>
    <w:multiLevelType w:val="hybridMultilevel"/>
    <w:tmpl w:val="6B540294"/>
    <w:lvl w:ilvl="0" w:tplc="BC8865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04CDE"/>
    <w:multiLevelType w:val="hybridMultilevel"/>
    <w:tmpl w:val="F216D01A"/>
    <w:lvl w:ilvl="0" w:tplc="B712A6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153B9"/>
    <w:multiLevelType w:val="hybridMultilevel"/>
    <w:tmpl w:val="92A2E220"/>
    <w:lvl w:ilvl="0" w:tplc="8FA8AD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EA7D1B"/>
    <w:multiLevelType w:val="hybridMultilevel"/>
    <w:tmpl w:val="90522C9A"/>
    <w:lvl w:ilvl="0" w:tplc="B712A6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63571"/>
    <w:multiLevelType w:val="hybridMultilevel"/>
    <w:tmpl w:val="70A27D18"/>
    <w:lvl w:ilvl="0" w:tplc="C13C92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3D7B77"/>
    <w:multiLevelType w:val="hybridMultilevel"/>
    <w:tmpl w:val="42CCEB6C"/>
    <w:lvl w:ilvl="0" w:tplc="23D27D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45262"/>
    <w:multiLevelType w:val="hybridMultilevel"/>
    <w:tmpl w:val="07F6E518"/>
    <w:lvl w:ilvl="0" w:tplc="7264E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9924A2"/>
    <w:multiLevelType w:val="hybridMultilevel"/>
    <w:tmpl w:val="AF7C94A8"/>
    <w:lvl w:ilvl="0" w:tplc="6762B7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E6DC1"/>
    <w:rsid w:val="000858A5"/>
    <w:rsid w:val="00127A6C"/>
    <w:rsid w:val="001702DE"/>
    <w:rsid w:val="001D0E4D"/>
    <w:rsid w:val="001D73F4"/>
    <w:rsid w:val="002B41EF"/>
    <w:rsid w:val="00443F14"/>
    <w:rsid w:val="00493437"/>
    <w:rsid w:val="004B2B8D"/>
    <w:rsid w:val="00501E07"/>
    <w:rsid w:val="00550CAD"/>
    <w:rsid w:val="005E6DC1"/>
    <w:rsid w:val="006134BC"/>
    <w:rsid w:val="006419FB"/>
    <w:rsid w:val="0067296A"/>
    <w:rsid w:val="0069483C"/>
    <w:rsid w:val="006D2CD6"/>
    <w:rsid w:val="00700CEE"/>
    <w:rsid w:val="0079691A"/>
    <w:rsid w:val="007D6637"/>
    <w:rsid w:val="00876604"/>
    <w:rsid w:val="008A77F0"/>
    <w:rsid w:val="008F4055"/>
    <w:rsid w:val="00924402"/>
    <w:rsid w:val="009B17DD"/>
    <w:rsid w:val="00A77CA6"/>
    <w:rsid w:val="00AC43E7"/>
    <w:rsid w:val="00AE63FE"/>
    <w:rsid w:val="00B02FED"/>
    <w:rsid w:val="00B74AA2"/>
    <w:rsid w:val="00B975EF"/>
    <w:rsid w:val="00BB7C89"/>
    <w:rsid w:val="00BD5B04"/>
    <w:rsid w:val="00C261A8"/>
    <w:rsid w:val="00C51C36"/>
    <w:rsid w:val="00C75D59"/>
    <w:rsid w:val="00CA41FC"/>
    <w:rsid w:val="00CC21E1"/>
    <w:rsid w:val="00CF29DC"/>
    <w:rsid w:val="00DD68DB"/>
    <w:rsid w:val="00E44C32"/>
    <w:rsid w:val="00EC3F35"/>
    <w:rsid w:val="00FE7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C1"/>
    <w:pPr>
      <w:bidi/>
      <w:spacing w:after="200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DC1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5E6D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5E6DC1"/>
    <w:rPr>
      <w:lang w:val="en-US"/>
    </w:rPr>
  </w:style>
  <w:style w:type="paragraph" w:styleId="a5">
    <w:name w:val="footer"/>
    <w:basedOn w:val="a"/>
    <w:link w:val="Char0"/>
    <w:uiPriority w:val="99"/>
    <w:unhideWhenUsed/>
    <w:rsid w:val="005E6D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E6DC1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1146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MAISON XP 035 55 37 49</Company>
  <LinksUpToDate>false</LinksUpToDate>
  <CharactersWithSpaces>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MAISON XP 035 55 37 49</dc:creator>
  <cp:keywords/>
  <dc:description/>
  <cp:lastModifiedBy> MAISON XP 035 55 37 49</cp:lastModifiedBy>
  <cp:revision>17</cp:revision>
  <cp:lastPrinted>2013-09-12T07:55:00Z</cp:lastPrinted>
  <dcterms:created xsi:type="dcterms:W3CDTF">2013-08-26T06:02:00Z</dcterms:created>
  <dcterms:modified xsi:type="dcterms:W3CDTF">2013-09-30T11:55:00Z</dcterms:modified>
</cp:coreProperties>
</file>